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1"/>
        <w:spacing w:before="0" w:lineRule="auto"/>
        <w:ind w:right="0"/>
        <w:rPr/>
      </w:pPr>
      <w:bookmarkStart w:colFirst="0" w:colLast="0" w:name="_ozdzy7qn7e67" w:id="0"/>
      <w:bookmarkEnd w:id="0"/>
      <w:r w:rsidDel="00000000" w:rsidR="00000000" w:rsidRPr="00000000">
        <w:rPr>
          <w:rtl w:val="0"/>
        </w:rPr>
        <w:t xml:space="preserve">CATR 2023: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Performing Shores / The Shores of Performance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In-Person Conference: Dalhousie University, June 15-17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Full Program, Draft 1</w:t>
      </w:r>
    </w:p>
    <w:p w:rsidR="00000000" w:rsidDel="00000000" w:rsidP="00000000" w:rsidRDefault="00000000" w:rsidRPr="00000000" w14:paraId="00000005">
      <w:pPr>
        <w:widowControl w:val="1"/>
        <w:spacing w:before="0" w:lineRule="auto"/>
        <w:ind w:right="0"/>
        <w:jc w:val="center"/>
        <w:rPr>
          <w:rFonts w:ascii="Bell MT" w:cs="Bell MT" w:eastAsia="Bell MT" w:hAnsi="Bell 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before="0" w:lineRule="auto"/>
        <w:ind w:right="0"/>
        <w:rPr>
          <w:rFonts w:ascii="Bell MT" w:cs="Bell MT" w:eastAsia="Bell MT" w:hAnsi="Bell M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widowControl w:val="1"/>
        <w:spacing w:before="0" w:lineRule="auto"/>
        <w:ind w:right="0"/>
        <w:rPr/>
      </w:pPr>
      <w:bookmarkStart w:colFirst="0" w:colLast="0" w:name="_gnikzwema6j7" w:id="1"/>
      <w:bookmarkEnd w:id="1"/>
      <w:r w:rsidDel="00000000" w:rsidR="00000000" w:rsidRPr="00000000">
        <w:rPr>
          <w:rtl w:val="0"/>
        </w:rPr>
        <w:t xml:space="preserve">Wednesday, June 14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18:00 – 22:00</w:t>
        <w:tab/>
        <w:t xml:space="preserve"> ADT</w:t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vw780c9w1vct" w:id="2"/>
      <w:bookmarkEnd w:id="2"/>
      <w:r w:rsidDel="00000000" w:rsidR="00000000" w:rsidRPr="00000000">
        <w:rPr>
          <w:rtl w:val="0"/>
        </w:rPr>
        <w:t xml:space="preserve">CATR Welcome Pub Night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19:00 – 20:15</w:t>
        <w:tab/>
        <w:t xml:space="preserve"> ADT</w:t>
        <w:tab/>
      </w:r>
    </w:p>
    <w:p w:rsidR="00000000" w:rsidDel="00000000" w:rsidP="00000000" w:rsidRDefault="00000000" w:rsidRPr="00000000" w14:paraId="0000000D">
      <w:pPr>
        <w:pStyle w:val="Heading3"/>
        <w:rPr>
          <w:u w:val="none"/>
        </w:rPr>
      </w:pPr>
      <w:bookmarkStart w:colFirst="0" w:colLast="0" w:name="_yonaum5yk5gh" w:id="3"/>
      <w:bookmarkEnd w:id="3"/>
      <w:r w:rsidDel="00000000" w:rsidR="00000000" w:rsidRPr="00000000">
        <w:rPr>
          <w:rtl w:val="0"/>
        </w:rPr>
        <w:t xml:space="preserve">Performance:</w:t>
      </w:r>
      <w:r w:rsidDel="00000000" w:rsidR="00000000" w:rsidRPr="00000000">
        <w:rPr>
          <w:u w:val="none"/>
          <w:rtl w:val="0"/>
        </w:rPr>
        <w:t xml:space="preserve"> Heist Theatre, Frequencies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gy4bucbcjc7i" w:id="4"/>
      <w:bookmarkEnd w:id="4"/>
      <w:r w:rsidDel="00000000" w:rsidR="00000000" w:rsidRPr="00000000">
        <w:rPr>
          <w:rtl w:val="0"/>
        </w:rPr>
        <w:t xml:space="preserve">Thursday, June 15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8:30 – 9:00 ADT</w:t>
        <w:tab/>
        <w:tab/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o46f1xs0xwx2" w:id="5"/>
      <w:bookmarkEnd w:id="5"/>
      <w:r w:rsidDel="00000000" w:rsidR="00000000" w:rsidRPr="00000000">
        <w:rPr>
          <w:rtl w:val="0"/>
        </w:rPr>
        <w:t xml:space="preserve">Land Acknowledgment and Welcoming Remarks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9:00 9:15 ADT</w:t>
        <w:tab/>
        <w:t xml:space="preserve">Break</w:t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9:15 – 10:45 ADT</w:t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tly56fr8679b" w:id="6"/>
      <w:bookmarkEnd w:id="6"/>
      <w:r w:rsidDel="00000000" w:rsidR="00000000" w:rsidRPr="00000000">
        <w:rPr>
          <w:rtl w:val="0"/>
        </w:rPr>
        <w:t xml:space="preserve">Concurrent Sessions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B">
      <w:pPr>
        <w:pStyle w:val="Heading3"/>
        <w:rPr>
          <w:u w:val="none"/>
        </w:rPr>
      </w:pPr>
      <w:bookmarkStart w:colFirst="0" w:colLast="0" w:name="_ny6gnxo5la2l" w:id="7"/>
      <w:bookmarkEnd w:id="7"/>
      <w:r w:rsidDel="00000000" w:rsidR="00000000" w:rsidRPr="00000000">
        <w:rPr>
          <w:rtl w:val="0"/>
        </w:rPr>
        <w:t xml:space="preserve">Roundtable:</w:t>
      </w:r>
      <w:r w:rsidDel="00000000" w:rsidR="00000000" w:rsidRPr="00000000">
        <w:rPr>
          <w:u w:val="none"/>
          <w:rtl w:val="0"/>
        </w:rPr>
        <w:t xml:space="preserve"> Performance Art as Critically Transformative Dreaming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Convenor: Leah Decter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Panelists: Erin Sutherland, Carla Taunton, Colleen MacIsaac, Lindsay Dobbin, Shauntay Gran,t and Tyshan Wright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>
          <w:u w:val="none"/>
        </w:rPr>
      </w:pPr>
      <w:bookmarkStart w:colFirst="0" w:colLast="0" w:name="_w5d0hdofbhg" w:id="8"/>
      <w:bookmarkEnd w:id="8"/>
      <w:r w:rsidDel="00000000" w:rsidR="00000000" w:rsidRPr="00000000">
        <w:rPr>
          <w:rtl w:val="0"/>
        </w:rPr>
        <w:t xml:space="preserve">Roundtable: </w:t>
      </w:r>
      <w:r w:rsidDel="00000000" w:rsidR="00000000" w:rsidRPr="00000000">
        <w:rPr>
          <w:u w:val="none"/>
          <w:rtl w:val="0"/>
        </w:rPr>
        <w:t xml:space="preserve">At the Edges of the Visible: Practice-Based Research, Scholarly Recognition, and the Challenge of Ethics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Co-convenors: Natalie Àlvarez &amp; Kim Solga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rPr/>
      </w:pPr>
      <w:bookmarkStart w:colFirst="0" w:colLast="0" w:name="_1camouql0vcw" w:id="9"/>
      <w:bookmarkEnd w:id="9"/>
      <w:r w:rsidDel="00000000" w:rsidR="00000000" w:rsidRPr="00000000">
        <w:rPr>
          <w:rtl w:val="0"/>
        </w:rPr>
        <w:t xml:space="preserve">Task Force on Precarity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Co-convenors: Jacquey Taucar &amp; Neil Silcox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10:45 – 11:00 ADT</w:t>
        <w:tab/>
        <w:t xml:space="preserve">Break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11:00-12:30 ADT</w:t>
      </w:r>
    </w:p>
    <w:p w:rsidR="00000000" w:rsidDel="00000000" w:rsidP="00000000" w:rsidRDefault="00000000" w:rsidRPr="00000000" w14:paraId="0000002A">
      <w:pPr>
        <w:pStyle w:val="Heading3"/>
        <w:rPr>
          <w:u w:val="none"/>
        </w:rPr>
      </w:pPr>
      <w:bookmarkStart w:colFirst="0" w:colLast="0" w:name="_nigseu15yyk3" w:id="10"/>
      <w:bookmarkEnd w:id="10"/>
      <w:r w:rsidDel="00000000" w:rsidR="00000000" w:rsidRPr="00000000">
        <w:rPr>
          <w:rtl w:val="0"/>
        </w:rPr>
        <w:t xml:space="preserve">Keynote:</w:t>
      </w:r>
      <w:r w:rsidDel="00000000" w:rsidR="00000000" w:rsidRPr="00000000">
        <w:rPr>
          <w:u w:val="none"/>
          <w:rtl w:val="0"/>
        </w:rPr>
        <w:t xml:space="preserve"> Shauntay Grant (</w:t>
      </w:r>
      <w:hyperlink r:id="rId6">
        <w:r w:rsidDel="00000000" w:rsidR="00000000" w:rsidRPr="00000000">
          <w:rPr>
            <w:color w:val="1155cc"/>
            <w:u w:val="none"/>
            <w:rtl w:val="0"/>
          </w:rPr>
          <w:t xml:space="preserve">https://www.shauntaygrant.com/about</w:t>
        </w:r>
      </w:hyperlink>
      <w:r w:rsidDel="00000000" w:rsidR="00000000" w:rsidRPr="00000000">
        <w:rPr>
          <w:u w:val="none"/>
          <w:rtl w:val="0"/>
        </w:rPr>
        <w:t xml:space="preserve">)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12:45 – 14:15 ADT</w:t>
      </w:r>
    </w:p>
    <w:p w:rsidR="00000000" w:rsidDel="00000000" w:rsidP="00000000" w:rsidRDefault="00000000" w:rsidRPr="00000000" w14:paraId="0000002E">
      <w:pPr>
        <w:pStyle w:val="Heading3"/>
        <w:rPr>
          <w:u w:val="none"/>
        </w:rPr>
      </w:pPr>
      <w:bookmarkStart w:colFirst="0" w:colLast="0" w:name="_eydrbkuvg75l" w:id="11"/>
      <w:bookmarkEnd w:id="11"/>
      <w:r w:rsidDel="00000000" w:rsidR="00000000" w:rsidRPr="00000000">
        <w:rPr>
          <w:rtl w:val="0"/>
        </w:rPr>
        <w:t xml:space="preserve">Lunch and Launch</w:t>
      </w:r>
      <w:r w:rsidDel="00000000" w:rsidR="00000000" w:rsidRPr="00000000">
        <w:rPr>
          <w:u w:val="none"/>
          <w:rtl w:val="0"/>
        </w:rPr>
        <w:t xml:space="preserve"> (Hosted by Playwrights Canada Press)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14:15 – 14:30:</w:t>
        <w:tab/>
        <w:t xml:space="preserve">Break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14:30-16:00 ADT</w:t>
        <w:tab/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ly7wx7xabe1c" w:id="12"/>
      <w:bookmarkEnd w:id="12"/>
      <w:r w:rsidDel="00000000" w:rsidR="00000000" w:rsidRPr="00000000">
        <w:rPr>
          <w:rtl w:val="0"/>
        </w:rPr>
        <w:t xml:space="preserve">Concurrent Sessions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rPr>
          <w:u w:val="none"/>
        </w:rPr>
      </w:pPr>
      <w:bookmarkStart w:colFirst="0" w:colLast="0" w:name="_ubv4ptm0exnx" w:id="13"/>
      <w:bookmarkEnd w:id="13"/>
      <w:r w:rsidDel="00000000" w:rsidR="00000000" w:rsidRPr="00000000">
        <w:rPr>
          <w:rtl w:val="0"/>
        </w:rPr>
        <w:t xml:space="preserve">Open Paper Panel:</w:t>
      </w:r>
      <w:r w:rsidDel="00000000" w:rsidR="00000000" w:rsidRPr="00000000">
        <w:rPr>
          <w:u w:val="none"/>
          <w:rtl w:val="0"/>
        </w:rPr>
        <w:t xml:space="preserve"> Channelling Indigenous Stories Onstage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Taylor Graham, “Remapping Blyth in 2017: Indigenous Performance Confronts Canada 150”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Sheila Christie, “Decolonizing Canadian Theatre Through Indigenous Collaboration”</w:t>
      </w:r>
    </w:p>
    <w:p w:rsidR="00000000" w:rsidDel="00000000" w:rsidP="00000000" w:rsidRDefault="00000000" w:rsidRPr="00000000" w14:paraId="0000003A">
      <w:pPr>
        <w:numPr>
          <w:ilvl w:val="0"/>
          <w:numId w:val="1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Barry Freeman, “Reanimating Loss Itself in Tapestry Opera’s Shawnadithit”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rPr>
          <w:u w:val="none"/>
        </w:rPr>
      </w:pPr>
      <w:bookmarkStart w:colFirst="0" w:colLast="0" w:name="_oiwzupnn7cpg" w:id="14"/>
      <w:bookmarkEnd w:id="14"/>
      <w:r w:rsidDel="00000000" w:rsidR="00000000" w:rsidRPr="00000000">
        <w:rPr>
          <w:rtl w:val="0"/>
        </w:rPr>
        <w:t xml:space="preserve">Curated Panel:</w:t>
      </w:r>
      <w:r w:rsidDel="00000000" w:rsidR="00000000" w:rsidRPr="00000000">
        <w:rPr>
          <w:u w:val="none"/>
          <w:rtl w:val="0"/>
        </w:rPr>
        <w:t xml:space="preserve"> Performance, Pedagogy, and the Politics of a ‘Difficult Return’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Kathleen Gallagher, “Site-Specific Creation and Difficult Assembly: Becoming the Bridge in Times of Loss”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Nancy Cardwell and Munia Debleena Tripathi, “Waves and Retreats: Dis/harmonies of Being and ‘Be’-ing Together in Toronto and Lucknow”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Celeste Kirsh, “‘Dear Neighbours with Sharpies:’ Hidden Histories, Public Art, and the Drama Classroom”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rPr>
          <w:u w:val="none"/>
        </w:rPr>
      </w:pPr>
      <w:bookmarkStart w:colFirst="0" w:colLast="0" w:name="_k3qcn7fkxbol" w:id="15"/>
      <w:bookmarkEnd w:id="15"/>
      <w:r w:rsidDel="00000000" w:rsidR="00000000" w:rsidRPr="00000000">
        <w:rPr>
          <w:rtl w:val="0"/>
        </w:rPr>
        <w:t xml:space="preserve">Performance:</w:t>
      </w:r>
      <w:r w:rsidDel="00000000" w:rsidR="00000000" w:rsidRPr="00000000">
        <w:rPr>
          <w:u w:val="none"/>
          <w:rtl w:val="0"/>
        </w:rPr>
        <w:t xml:space="preserve"> Echoes from the Shoals of Academe: Podcasting as Life Raft, as Lighthouse, and as Anchor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Ashley Williamson &amp; Tim Youker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16:00 – 16:15 ADT</w:t>
        <w:tab/>
        <w:t xml:space="preserve">Break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16:15 - 17:45 ADT</w:t>
        <w:tab/>
        <w:tab/>
      </w:r>
    </w:p>
    <w:p w:rsidR="00000000" w:rsidDel="00000000" w:rsidP="00000000" w:rsidRDefault="00000000" w:rsidRPr="00000000" w14:paraId="00000049">
      <w:pPr>
        <w:pStyle w:val="Heading2"/>
        <w:rPr/>
      </w:pPr>
      <w:bookmarkStart w:colFirst="0" w:colLast="0" w:name="_yf0bpl1z1fo5" w:id="16"/>
      <w:bookmarkEnd w:id="16"/>
      <w:r w:rsidDel="00000000" w:rsidR="00000000" w:rsidRPr="00000000">
        <w:rPr>
          <w:rtl w:val="0"/>
        </w:rPr>
        <w:t xml:space="preserve">Concurrent Sessions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B">
      <w:pPr>
        <w:pStyle w:val="Heading3"/>
        <w:rPr>
          <w:u w:val="none"/>
        </w:rPr>
      </w:pPr>
      <w:bookmarkStart w:colFirst="0" w:colLast="0" w:name="_dcq04motqvvn" w:id="17"/>
      <w:bookmarkEnd w:id="17"/>
      <w:r w:rsidDel="00000000" w:rsidR="00000000" w:rsidRPr="00000000">
        <w:rPr>
          <w:rtl w:val="0"/>
        </w:rPr>
        <w:t xml:space="preserve">Open Paper Panel:</w:t>
      </w:r>
      <w:r w:rsidDel="00000000" w:rsidR="00000000" w:rsidRPr="00000000">
        <w:rPr>
          <w:u w:val="none"/>
          <w:rtl w:val="0"/>
        </w:rPr>
        <w:t xml:space="preserve"> Community Submerged Art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Moira Day, “Exploring Canadian ‘Authenticity’ in Early Twentieth-Century Documentary Film and Folk Drama”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Kimber Sider, “Moving Histories: Multimodal Storytelling and Community Impact”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Sarah Robbins, “‘Local Jazz Musicians Left Out of Local Jazz Festival’: Researching Community Musical Performance Through the Family Archive”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rPr/>
      </w:pPr>
      <w:bookmarkStart w:colFirst="0" w:colLast="0" w:name="_sag3n09bk7mi" w:id="18"/>
      <w:bookmarkEnd w:id="1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rPr>
          <w:u w:val="none"/>
        </w:rPr>
      </w:pPr>
      <w:bookmarkStart w:colFirst="0" w:colLast="0" w:name="_lf6j56liz48u" w:id="19"/>
      <w:bookmarkEnd w:id="19"/>
      <w:r w:rsidDel="00000000" w:rsidR="00000000" w:rsidRPr="00000000">
        <w:rPr>
          <w:rtl w:val="0"/>
        </w:rPr>
        <w:t xml:space="preserve">Open Paper Panel:</w:t>
      </w:r>
      <w:r w:rsidDel="00000000" w:rsidR="00000000" w:rsidRPr="00000000">
        <w:rPr>
          <w:u w:val="none"/>
          <w:rtl w:val="0"/>
        </w:rPr>
        <w:t xml:space="preserve"> Performance in a Stormy Age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Megan Johnson, “Performances of ‘Shoring up’: Infrastructural Imaginings of an Uncertain Future”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Claire Borody, “The Performativity of an Artifact: How Covid Masks Illustrated the Trajectory of Pandemic Protocol” 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Robin Witt, “The Great North Road: Boundaries and Borders in Simon Stephens' Light Falls”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56">
      <w:pPr>
        <w:pStyle w:val="Heading3"/>
        <w:rPr>
          <w:u w:val="none"/>
        </w:rPr>
      </w:pPr>
      <w:bookmarkStart w:colFirst="0" w:colLast="0" w:name="_weojbpgje6nr" w:id="20"/>
      <w:bookmarkEnd w:id="20"/>
      <w:r w:rsidDel="00000000" w:rsidR="00000000" w:rsidRPr="00000000">
        <w:rPr>
          <w:rtl w:val="0"/>
        </w:rPr>
        <w:t xml:space="preserve">Curated Paper Panel:</w:t>
      </w:r>
      <w:r w:rsidDel="00000000" w:rsidR="00000000" w:rsidRPr="00000000">
        <w:rPr>
          <w:u w:val="none"/>
          <w:rtl w:val="0"/>
        </w:rPr>
        <w:t xml:space="preserve"> Performance in the Pacific Northwest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Heather Davis-Fisch, “Tracing Performances Across Archives”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Laurel Green, “This Chair is a Mountain”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Matthew Tomkinson, Title TBC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Sasha Kovacs, “Working with Archivists: A Costume in the Museum of Vancouver”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rPr>
          <w:u w:val="none"/>
        </w:rPr>
      </w:pPr>
      <w:bookmarkStart w:colFirst="0" w:colLast="0" w:name="_ogk2q0dcegw0" w:id="21"/>
      <w:bookmarkEnd w:id="21"/>
      <w:r w:rsidDel="00000000" w:rsidR="00000000" w:rsidRPr="00000000">
        <w:rPr>
          <w:rtl w:val="0"/>
        </w:rPr>
        <w:t xml:space="preserve">Roundtable:</w:t>
      </w:r>
      <w:r w:rsidDel="00000000" w:rsidR="00000000" w:rsidRPr="00000000">
        <w:rPr>
          <w:u w:val="none"/>
          <w:rtl w:val="0"/>
        </w:rPr>
        <w:t xml:space="preserve"> Describing Queer Identities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Co-Convenors: Kat Germain &amp; Jennifer Brethour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18:00 – 22:00 ADT</w:t>
        <w:tab/>
        <w:tab/>
      </w:r>
    </w:p>
    <w:p w:rsidR="00000000" w:rsidDel="00000000" w:rsidP="00000000" w:rsidRDefault="00000000" w:rsidRPr="00000000" w14:paraId="00000060">
      <w:pPr>
        <w:pStyle w:val="Heading3"/>
        <w:rPr/>
      </w:pPr>
      <w:bookmarkStart w:colFirst="0" w:colLast="0" w:name="_b6ux471jecor" w:id="22"/>
      <w:bookmarkEnd w:id="22"/>
      <w:r w:rsidDel="00000000" w:rsidR="00000000" w:rsidRPr="00000000">
        <w:rPr>
          <w:rtl w:val="0"/>
        </w:rPr>
        <w:t xml:space="preserve">Dinner on your own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19:00 – 20:15 ADT</w:t>
        <w:tab/>
      </w:r>
    </w:p>
    <w:p w:rsidR="00000000" w:rsidDel="00000000" w:rsidP="00000000" w:rsidRDefault="00000000" w:rsidRPr="00000000" w14:paraId="00000063">
      <w:pPr>
        <w:pStyle w:val="Heading3"/>
        <w:rPr>
          <w:u w:val="none"/>
        </w:rPr>
      </w:pPr>
      <w:bookmarkStart w:colFirst="0" w:colLast="0" w:name="_i70lolpu6pdi" w:id="23"/>
      <w:bookmarkEnd w:id="23"/>
      <w:r w:rsidDel="00000000" w:rsidR="00000000" w:rsidRPr="00000000">
        <w:rPr>
          <w:rtl w:val="0"/>
        </w:rPr>
        <w:t xml:space="preserve">Performance:</w:t>
      </w:r>
      <w:r w:rsidDel="00000000" w:rsidR="00000000" w:rsidRPr="00000000">
        <w:rPr>
          <w:u w:val="none"/>
          <w:rtl w:val="0"/>
        </w:rPr>
        <w:t xml:space="preserve"> Heist Theatre, Frequencies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rPr/>
      </w:pPr>
      <w:bookmarkStart w:colFirst="0" w:colLast="0" w:name="_vzlq9wqzzt38" w:id="24"/>
      <w:bookmarkEnd w:id="2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rPr/>
      </w:pPr>
      <w:bookmarkStart w:colFirst="0" w:colLast="0" w:name="_st9agq22mvok" w:id="25"/>
      <w:bookmarkEnd w:id="25"/>
      <w:r w:rsidDel="00000000" w:rsidR="00000000" w:rsidRPr="00000000">
        <w:rPr>
          <w:rtl w:val="0"/>
        </w:rPr>
        <w:t xml:space="preserve">Friday, June 16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8:30 – 9:15 ADT</w:t>
        <w:tab/>
        <w:tab/>
      </w:r>
    </w:p>
    <w:p w:rsidR="00000000" w:rsidDel="00000000" w:rsidP="00000000" w:rsidRDefault="00000000" w:rsidRPr="00000000" w14:paraId="00000069">
      <w:pPr>
        <w:pStyle w:val="Heading3"/>
        <w:rPr/>
      </w:pPr>
      <w:bookmarkStart w:colFirst="0" w:colLast="0" w:name="_eajvqq30v0o9" w:id="26"/>
      <w:bookmarkEnd w:id="26"/>
      <w:r w:rsidDel="00000000" w:rsidR="00000000" w:rsidRPr="00000000">
        <w:rPr>
          <w:rtl w:val="0"/>
        </w:rPr>
        <w:t xml:space="preserve">Coffee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3"/>
        <w:rPr>
          <w:u w:val="none"/>
        </w:rPr>
      </w:pPr>
      <w:bookmarkStart w:colFirst="0" w:colLast="0" w:name="_4nntnbtqs4nu" w:id="27"/>
      <w:bookmarkEnd w:id="27"/>
      <w:r w:rsidDel="00000000" w:rsidR="00000000" w:rsidRPr="00000000">
        <w:rPr>
          <w:rtl w:val="0"/>
        </w:rPr>
        <w:t xml:space="preserve">Somatic Engagement Working Group:</w:t>
      </w:r>
      <w:r w:rsidDel="00000000" w:rsidR="00000000" w:rsidRPr="00000000">
        <w:rPr>
          <w:u w:val="none"/>
          <w:rtl w:val="0"/>
        </w:rPr>
        <w:t xml:space="preserve"> Online Explorations (Open to all conference participants)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9:15-10:45 ADT</w:t>
        <w:tab/>
        <w:tab/>
      </w:r>
    </w:p>
    <w:p w:rsidR="00000000" w:rsidDel="00000000" w:rsidP="00000000" w:rsidRDefault="00000000" w:rsidRPr="00000000" w14:paraId="0000006E">
      <w:pPr>
        <w:pStyle w:val="Heading2"/>
        <w:rPr/>
      </w:pPr>
      <w:bookmarkStart w:colFirst="0" w:colLast="0" w:name="_d83zy4kvkw33" w:id="28"/>
      <w:bookmarkEnd w:id="28"/>
      <w:r w:rsidDel="00000000" w:rsidR="00000000" w:rsidRPr="00000000">
        <w:rPr>
          <w:rtl w:val="0"/>
        </w:rPr>
        <w:t xml:space="preserve">Concurrent Sessions</w:t>
        <w:tab/>
        <w:tab/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70">
      <w:pPr>
        <w:pStyle w:val="Heading3"/>
        <w:rPr/>
      </w:pPr>
      <w:bookmarkStart w:colFirst="0" w:colLast="0" w:name="_nmpqqjscvm8f" w:id="29"/>
      <w:bookmarkEnd w:id="29"/>
      <w:r w:rsidDel="00000000" w:rsidR="00000000" w:rsidRPr="00000000">
        <w:rPr>
          <w:rtl w:val="0"/>
        </w:rPr>
        <w:t xml:space="preserve">Praxis Workshop: Experiment: Physical Vocabularies of Stroke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Convenor: Anne Wessels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3"/>
        <w:rPr>
          <w:u w:val="none"/>
        </w:rPr>
      </w:pPr>
      <w:bookmarkStart w:colFirst="0" w:colLast="0" w:name="_bwlh5nneq7u5" w:id="30"/>
      <w:bookmarkEnd w:id="30"/>
      <w:r w:rsidDel="00000000" w:rsidR="00000000" w:rsidRPr="00000000">
        <w:rPr>
          <w:rtl w:val="0"/>
        </w:rPr>
        <w:t xml:space="preserve">Open Paper Panel:</w:t>
      </w:r>
      <w:r w:rsidDel="00000000" w:rsidR="00000000" w:rsidRPr="00000000">
        <w:rPr>
          <w:u w:val="none"/>
          <w:rtl w:val="0"/>
        </w:rPr>
        <w:t xml:space="preserve"> Fluidities of Gender and Performance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Cameron Crookston, “King Me: Dragging the History of Male Impersonation in Drag King Decades”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Marigona Bekteshi, “Women’s Dramatic Arts”</w: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Kristin Leahey, “Kate Hamill’s 2019 Little Women”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3"/>
        <w:rPr>
          <w:u w:val="none"/>
        </w:rPr>
      </w:pPr>
      <w:bookmarkStart w:colFirst="0" w:colLast="0" w:name="_ts5fzw3vqh6h" w:id="31"/>
      <w:bookmarkEnd w:id="31"/>
      <w:r w:rsidDel="00000000" w:rsidR="00000000" w:rsidRPr="00000000">
        <w:rPr>
          <w:rtl w:val="0"/>
        </w:rPr>
        <w:t xml:space="preserve">Roundtable:</w:t>
      </w:r>
      <w:r w:rsidDel="00000000" w:rsidR="00000000" w:rsidRPr="00000000">
        <w:rPr>
          <w:u w:val="none"/>
          <w:rtl w:val="0"/>
        </w:rPr>
        <w:t xml:space="preserve"> XR and the Future Stage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Co-Convenors: </w:t>
      </w:r>
      <w:r w:rsidDel="00000000" w:rsidR="00000000" w:rsidRPr="00000000">
        <w:rPr>
          <w:rtl w:val="0"/>
        </w:rPr>
        <w:t xml:space="preserve">Laura Levin &amp; Kim McLeod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10:45-11:00 ADT</w:t>
        <w:tab/>
        <w:t xml:space="preserve">Break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11:00-12:30 ADT</w:t>
        <w:tab/>
      </w:r>
    </w:p>
    <w:p w:rsidR="00000000" w:rsidDel="00000000" w:rsidP="00000000" w:rsidRDefault="00000000" w:rsidRPr="00000000" w14:paraId="00000080">
      <w:pPr>
        <w:pStyle w:val="Heading2"/>
        <w:rPr/>
      </w:pPr>
      <w:bookmarkStart w:colFirst="0" w:colLast="0" w:name="_g0mz9as3pttg" w:id="32"/>
      <w:bookmarkEnd w:id="32"/>
      <w:r w:rsidDel="00000000" w:rsidR="00000000" w:rsidRPr="00000000">
        <w:rPr>
          <w:rtl w:val="0"/>
        </w:rPr>
        <w:t xml:space="preserve">Concurrent Sessions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3"/>
        <w:rPr>
          <w:u w:val="none"/>
        </w:rPr>
      </w:pPr>
      <w:bookmarkStart w:colFirst="0" w:colLast="0" w:name="_ai1ribribdl" w:id="33"/>
      <w:bookmarkEnd w:id="33"/>
      <w:r w:rsidDel="00000000" w:rsidR="00000000" w:rsidRPr="00000000">
        <w:rPr>
          <w:rtl w:val="0"/>
        </w:rPr>
        <w:t xml:space="preserve">Seminar:</w:t>
      </w:r>
      <w:r w:rsidDel="00000000" w:rsidR="00000000" w:rsidRPr="00000000">
        <w:rPr>
          <w:u w:val="none"/>
          <w:rtl w:val="0"/>
        </w:rPr>
        <w:t xml:space="preserve"> Burning It All Down: Advocating for Structural Change Through Disability Justice (Part One)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Co-Convenors: Jenn Boulay &amp; Signy Lynch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3"/>
        <w:rPr>
          <w:u w:val="none"/>
        </w:rPr>
      </w:pPr>
      <w:bookmarkStart w:colFirst="0" w:colLast="0" w:name="_ofvhcrmhhpox" w:id="34"/>
      <w:bookmarkEnd w:id="34"/>
      <w:r w:rsidDel="00000000" w:rsidR="00000000" w:rsidRPr="00000000">
        <w:rPr>
          <w:rtl w:val="0"/>
        </w:rPr>
        <w:t xml:space="preserve">Open Paper Panel:</w:t>
      </w:r>
      <w:r w:rsidDel="00000000" w:rsidR="00000000" w:rsidRPr="00000000">
        <w:rPr>
          <w:u w:val="none"/>
          <w:rtl w:val="0"/>
        </w:rPr>
        <w:t xml:space="preserve"> Springs of Inspiration: Ceremony, Training, and the Performer’s Art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Ariel Watson, “Signaling Through the Flames: Pyroturgs and Theatromancy”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Charlotte Dorey, “Finding Holiness in the Mundane: Ceremony as a Dramaturgy of Participatory Theatre”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Benjamin Barrena, “Affluents pédagogiques dans le théâtre de Robert Lepage”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3"/>
        <w:rPr>
          <w:u w:val="none"/>
        </w:rPr>
      </w:pPr>
      <w:bookmarkStart w:colFirst="0" w:colLast="0" w:name="_ivbwfwbtpmu" w:id="35"/>
      <w:bookmarkEnd w:id="35"/>
      <w:r w:rsidDel="00000000" w:rsidR="00000000" w:rsidRPr="00000000">
        <w:rPr>
          <w:rtl w:val="0"/>
        </w:rPr>
        <w:t xml:space="preserve">Open Paper Panel:</w:t>
      </w:r>
      <w:r w:rsidDel="00000000" w:rsidR="00000000" w:rsidRPr="00000000">
        <w:rPr>
          <w:u w:val="none"/>
          <w:rtl w:val="0"/>
        </w:rPr>
        <w:t xml:space="preserve"> The Archives Spill Out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Robin Whittaker, “‘Waiting for You For Sure Tonight 8.30 by the Tree =GODOT=’: Alumnae Bring the Absurd to Halifax”</w:t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Marlis Schweitzer, “The Lecture on Heads Comes to Halifax, c. 1785-91”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Jessica Riley, “Relational Dramaturgy: Lessons from the Archives and Beyond”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3"/>
        <w:rPr/>
      </w:pPr>
      <w:bookmarkStart w:colFirst="0" w:colLast="0" w:name="_qc2bf2f4cjs" w:id="36"/>
      <w:bookmarkEnd w:id="3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3"/>
        <w:rPr>
          <w:u w:val="none"/>
        </w:rPr>
      </w:pPr>
      <w:bookmarkStart w:colFirst="0" w:colLast="0" w:name="_o2ifxeaw5dla" w:id="37"/>
      <w:bookmarkEnd w:id="37"/>
      <w:r w:rsidDel="00000000" w:rsidR="00000000" w:rsidRPr="00000000">
        <w:rPr>
          <w:rtl w:val="0"/>
        </w:rPr>
        <w:t xml:space="preserve">Praxis Workshop:</w:t>
      </w:r>
      <w:r w:rsidDel="00000000" w:rsidR="00000000" w:rsidRPr="00000000">
        <w:rPr>
          <w:u w:val="none"/>
          <w:rtl w:val="0"/>
        </w:rPr>
        <w:t xml:space="preserve"> The Floating Body: Butoh-inspired Movement as Decolonial Performance Pedagogy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Workshop Leader: Carla Melo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12:45-14:15 ADT</w:t>
        <w:tab/>
      </w:r>
    </w:p>
    <w:p w:rsidR="00000000" w:rsidDel="00000000" w:rsidP="00000000" w:rsidRDefault="00000000" w:rsidRPr="00000000" w14:paraId="00000094">
      <w:pPr>
        <w:pStyle w:val="Heading3"/>
        <w:rPr>
          <w:u w:val="none"/>
        </w:rPr>
      </w:pPr>
      <w:bookmarkStart w:colFirst="0" w:colLast="0" w:name="_38i2o5mzj0vn" w:id="38"/>
      <w:bookmarkEnd w:id="38"/>
      <w:r w:rsidDel="00000000" w:rsidR="00000000" w:rsidRPr="00000000">
        <w:rPr>
          <w:rtl w:val="0"/>
        </w:rPr>
        <w:t xml:space="preserve">Lunch and Launch</w:t>
      </w:r>
      <w:r w:rsidDel="00000000" w:rsidR="00000000" w:rsidRPr="00000000">
        <w:rPr>
          <w:u w:val="none"/>
          <w:rtl w:val="0"/>
        </w:rPr>
        <w:t xml:space="preserve"> (Hosted by Talonbooks)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14:15-14:30 ADT</w:t>
        <w:tab/>
        <w:t xml:space="preserve">Break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14:30-16:00 ADT</w:t>
        <w:tab/>
        <w:tab/>
      </w:r>
    </w:p>
    <w:p w:rsidR="00000000" w:rsidDel="00000000" w:rsidP="00000000" w:rsidRDefault="00000000" w:rsidRPr="00000000" w14:paraId="0000009B">
      <w:pPr>
        <w:pStyle w:val="Heading2"/>
        <w:spacing w:before="0" w:lineRule="auto"/>
        <w:rPr/>
      </w:pPr>
      <w:bookmarkStart w:colFirst="0" w:colLast="0" w:name="_v4r7rvlyx1rc" w:id="39"/>
      <w:bookmarkEnd w:id="39"/>
      <w:r w:rsidDel="00000000" w:rsidR="00000000" w:rsidRPr="00000000">
        <w:rPr>
          <w:rtl w:val="0"/>
        </w:rPr>
        <w:t xml:space="preserve">Concurrent Sessions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3"/>
        <w:rPr>
          <w:u w:val="none"/>
        </w:rPr>
      </w:pPr>
      <w:bookmarkStart w:colFirst="0" w:colLast="0" w:name="_s4zh25xoqxiq" w:id="40"/>
      <w:bookmarkEnd w:id="40"/>
      <w:r w:rsidDel="00000000" w:rsidR="00000000" w:rsidRPr="00000000">
        <w:rPr>
          <w:rtl w:val="0"/>
        </w:rPr>
        <w:t xml:space="preserve">Seminar: Burning It All Down:</w:t>
      </w:r>
      <w:r w:rsidDel="00000000" w:rsidR="00000000" w:rsidRPr="00000000">
        <w:rPr>
          <w:u w:val="none"/>
          <w:rtl w:val="0"/>
        </w:rPr>
        <w:t xml:space="preserve"> Advocating for Structural Change Through Disability Justice (Part Two)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Co-Convenors: Jenn Boulay &amp; Signy Lynch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3"/>
        <w:rPr>
          <w:u w:val="none"/>
        </w:rPr>
      </w:pPr>
      <w:bookmarkStart w:colFirst="0" w:colLast="0" w:name="_nzco7bam1qk5" w:id="41"/>
      <w:bookmarkEnd w:id="41"/>
      <w:r w:rsidDel="00000000" w:rsidR="00000000" w:rsidRPr="00000000">
        <w:rPr>
          <w:rtl w:val="0"/>
        </w:rPr>
        <w:t xml:space="preserve">Open Paper Panel:</w:t>
      </w:r>
      <w:r w:rsidDel="00000000" w:rsidR="00000000" w:rsidRPr="00000000">
        <w:rPr>
          <w:u w:val="none"/>
          <w:rtl w:val="0"/>
        </w:rPr>
        <w:t xml:space="preserve"> The Audience Flows In</w:t>
      </w:r>
    </w:p>
    <w:p w:rsidR="00000000" w:rsidDel="00000000" w:rsidP="00000000" w:rsidRDefault="00000000" w:rsidRPr="00000000" w14:paraId="000000A1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Allen Baylosis, “Spectating With/Against: How Do Postshow TalkbacksAsk Which Bodies That Matter?”</w:t>
      </w:r>
    </w:p>
    <w:p w:rsidR="00000000" w:rsidDel="00000000" w:rsidP="00000000" w:rsidRDefault="00000000" w:rsidRPr="00000000" w14:paraId="000000A2">
      <w:pPr>
        <w:numPr>
          <w:ilvl w:val="0"/>
          <w:numId w:val="8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Kelsey Jacobson and Bethany Schaufler, “Feeling Together: Boundaries, Exchanges, and Shared Spaces Amongst Audiences”</w:t>
      </w:r>
    </w:p>
    <w:p w:rsidR="00000000" w:rsidDel="00000000" w:rsidP="00000000" w:rsidRDefault="00000000" w:rsidRPr="00000000" w14:paraId="000000A3">
      <w:pPr>
        <w:numPr>
          <w:ilvl w:val="0"/>
          <w:numId w:val="8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Derek Manderson, “Learn/Roll/Play: Using Game Structure to Scaffold Participation”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3"/>
        <w:rPr>
          <w:u w:val="none"/>
        </w:rPr>
      </w:pPr>
      <w:bookmarkStart w:colFirst="0" w:colLast="0" w:name="_ur2euinmqq0t" w:id="42"/>
      <w:bookmarkEnd w:id="42"/>
      <w:r w:rsidDel="00000000" w:rsidR="00000000" w:rsidRPr="00000000">
        <w:rPr>
          <w:rtl w:val="0"/>
        </w:rPr>
        <w:t xml:space="preserve">Open Paper Panel:</w:t>
      </w:r>
      <w:r w:rsidDel="00000000" w:rsidR="00000000" w:rsidRPr="00000000">
        <w:rPr>
          <w:u w:val="none"/>
          <w:rtl w:val="0"/>
        </w:rPr>
        <w:t xml:space="preserve"> UK Theatre Roots Soaked Up</w:t>
      </w:r>
    </w:p>
    <w:p w:rsidR="00000000" w:rsidDel="00000000" w:rsidP="00000000" w:rsidRDefault="00000000" w:rsidRPr="00000000" w14:paraId="000000A6">
      <w:pPr>
        <w:numPr>
          <w:ilvl w:val="0"/>
          <w:numId w:val="1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Marie Trotter, “Reimagining the Fourth Wall Through Metatheatrical</w:t>
      </w:r>
    </w:p>
    <w:p w:rsidR="00000000" w:rsidDel="00000000" w:rsidP="00000000" w:rsidRDefault="00000000" w:rsidRPr="00000000" w14:paraId="000000A7">
      <w:pPr>
        <w:numPr>
          <w:ilvl w:val="0"/>
          <w:numId w:val="1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 Address in the Stratford Festival’s 2022 Hamlet”</w:t>
      </w:r>
    </w:p>
    <w:p w:rsidR="00000000" w:rsidDel="00000000" w:rsidP="00000000" w:rsidRDefault="00000000" w:rsidRPr="00000000" w14:paraId="000000A8">
      <w:pPr>
        <w:numPr>
          <w:ilvl w:val="0"/>
          <w:numId w:val="1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Helmut Reichenbächer, “The Consequences of Totalitarianism: The Disappearance of Mendelssohn’s Incidental Music to Shakespeare’s Midsummer Night’s Dream During the Third Reich”</w:t>
      </w:r>
    </w:p>
    <w:p w:rsidR="00000000" w:rsidDel="00000000" w:rsidP="00000000" w:rsidRDefault="00000000" w:rsidRPr="00000000" w14:paraId="000000A9">
      <w:pPr>
        <w:numPr>
          <w:ilvl w:val="0"/>
          <w:numId w:val="1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Morgan Martin, “ ‘Twice the Sea Took Him and Once Gave Him Back’: An Examination of the ‘Sea Change’ of the Littoral in Scottish Maritime Plays”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3"/>
        <w:rPr>
          <w:u w:val="none"/>
        </w:rPr>
      </w:pPr>
      <w:bookmarkStart w:colFirst="0" w:colLast="0" w:name="_43am4nuj3gk6" w:id="43"/>
      <w:bookmarkEnd w:id="43"/>
      <w:r w:rsidDel="00000000" w:rsidR="00000000" w:rsidRPr="00000000">
        <w:rPr>
          <w:rtl w:val="0"/>
        </w:rPr>
        <w:t xml:space="preserve">Roundtable:</w:t>
      </w:r>
      <w:r w:rsidDel="00000000" w:rsidR="00000000" w:rsidRPr="00000000">
        <w:rPr>
          <w:u w:val="none"/>
          <w:rtl w:val="0"/>
        </w:rPr>
        <w:t xml:space="preserve"> Historiographing Hannah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Co-Convenors: Sasha Kovacs &amp; Michelle MacArthur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16:00 – 16:15 ADT</w:t>
        <w:tab/>
        <w:t xml:space="preserve">Break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16:15 - 17:45</w:t>
        <w:tab/>
        <w:t xml:space="preserve">ADT</w:t>
        <w:tab/>
      </w:r>
    </w:p>
    <w:p w:rsidR="00000000" w:rsidDel="00000000" w:rsidP="00000000" w:rsidRDefault="00000000" w:rsidRPr="00000000" w14:paraId="000000B3">
      <w:pPr>
        <w:pStyle w:val="Heading3"/>
        <w:rPr>
          <w:u w:val="none"/>
        </w:rPr>
      </w:pPr>
      <w:bookmarkStart w:colFirst="0" w:colLast="0" w:name="_9f8ggrg5dv1e" w:id="44"/>
      <w:bookmarkEnd w:id="44"/>
      <w:r w:rsidDel="00000000" w:rsidR="00000000" w:rsidRPr="00000000">
        <w:rPr>
          <w:rtl w:val="0"/>
        </w:rPr>
        <w:t xml:space="preserve">Plenary Session:</w:t>
      </w:r>
      <w:r w:rsidDel="00000000" w:rsidR="00000000" w:rsidRPr="00000000">
        <w:rPr>
          <w:u w:val="none"/>
          <w:rtl w:val="0"/>
        </w:rPr>
        <w:t xml:space="preserve">“Irresistible Practices” (Led by the CATR Environmental Stewardship and Course Correction Working Groups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Co-Convenors: Katrina Dunn, Hope McIntyre, &amp;Kimberley Skye Richards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17:45 – 19:00 ADT</w:t>
        <w:tab/>
        <w:t xml:space="preserve">Break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19:00 – 22:00</w:t>
        <w:tab/>
        <w:t xml:space="preserve"> ADT</w:t>
        <w:tab/>
      </w:r>
    </w:p>
    <w:p w:rsidR="00000000" w:rsidDel="00000000" w:rsidP="00000000" w:rsidRDefault="00000000" w:rsidRPr="00000000" w14:paraId="000000BD">
      <w:pPr>
        <w:pStyle w:val="Heading3"/>
        <w:rPr>
          <w:u w:val="none"/>
        </w:rPr>
      </w:pPr>
      <w:bookmarkStart w:colFirst="0" w:colLast="0" w:name="_gk4nxc1dzh7i" w:id="45"/>
      <w:bookmarkEnd w:id="45"/>
      <w:r w:rsidDel="00000000" w:rsidR="00000000" w:rsidRPr="00000000">
        <w:rPr>
          <w:rtl w:val="0"/>
        </w:rPr>
        <w:t xml:space="preserve">CATR Conference Banquet</w:t>
      </w:r>
      <w:r w:rsidDel="00000000" w:rsidR="00000000" w:rsidRPr="00000000">
        <w:rPr>
          <w:u w:val="none"/>
          <w:rtl w:val="0"/>
        </w:rPr>
        <w:t xml:space="preserve"> at The Wooden Monkey, Dartmouth Waterfront (food cost included in conference registration)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1"/>
        <w:rPr/>
      </w:pPr>
      <w:bookmarkStart w:colFirst="0" w:colLast="0" w:name="_o5nl25az3brx" w:id="46"/>
      <w:bookmarkEnd w:id="4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1"/>
        <w:rPr/>
      </w:pPr>
      <w:bookmarkStart w:colFirst="0" w:colLast="0" w:name="_lh1mi27r8mzx" w:id="47"/>
      <w:bookmarkEnd w:id="47"/>
      <w:r w:rsidDel="00000000" w:rsidR="00000000" w:rsidRPr="00000000">
        <w:rPr>
          <w:rtl w:val="0"/>
        </w:rPr>
        <w:t xml:space="preserve">Saturday, June 17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8:30 – 9:15 ADT</w:t>
        <w:tab/>
        <w:tab/>
      </w:r>
    </w:p>
    <w:p w:rsidR="00000000" w:rsidDel="00000000" w:rsidP="00000000" w:rsidRDefault="00000000" w:rsidRPr="00000000" w14:paraId="000000C3">
      <w:pPr>
        <w:pStyle w:val="Heading3"/>
        <w:rPr/>
      </w:pPr>
      <w:bookmarkStart w:colFirst="0" w:colLast="0" w:name="_9d8ubwqybhks" w:id="48"/>
      <w:bookmarkEnd w:id="48"/>
      <w:r w:rsidDel="00000000" w:rsidR="00000000" w:rsidRPr="00000000">
        <w:rPr>
          <w:rtl w:val="0"/>
        </w:rPr>
        <w:t xml:space="preserve">Coffee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3"/>
        <w:rPr>
          <w:u w:val="none"/>
        </w:rPr>
      </w:pPr>
      <w:bookmarkStart w:colFirst="0" w:colLast="0" w:name="_qg4iatx3nezb" w:id="49"/>
      <w:bookmarkEnd w:id="49"/>
      <w:r w:rsidDel="00000000" w:rsidR="00000000" w:rsidRPr="00000000">
        <w:rPr>
          <w:rtl w:val="0"/>
        </w:rPr>
        <w:t xml:space="preserve">Somatic Engagement Working Group:</w:t>
      </w:r>
      <w:r w:rsidDel="00000000" w:rsidR="00000000" w:rsidRPr="00000000">
        <w:rPr>
          <w:u w:val="none"/>
          <w:rtl w:val="0"/>
        </w:rPr>
        <w:t xml:space="preserve"> Online Explorations (Open to all conference participants)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9:15-10:45</w:t>
      </w:r>
    </w:p>
    <w:p w:rsidR="00000000" w:rsidDel="00000000" w:rsidP="00000000" w:rsidRDefault="00000000" w:rsidRPr="00000000" w14:paraId="000000C8">
      <w:pPr>
        <w:pStyle w:val="Heading2"/>
        <w:rPr/>
      </w:pPr>
      <w:bookmarkStart w:colFirst="0" w:colLast="0" w:name="_1k1ovwzc3f7v" w:id="50"/>
      <w:bookmarkEnd w:id="50"/>
      <w:r w:rsidDel="00000000" w:rsidR="00000000" w:rsidRPr="00000000">
        <w:rPr>
          <w:rtl w:val="0"/>
        </w:rPr>
        <w:t xml:space="preserve">Concurrent Sessions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CA">
      <w:pPr>
        <w:pStyle w:val="Heading3"/>
        <w:rPr>
          <w:u w:val="none"/>
        </w:rPr>
      </w:pPr>
      <w:bookmarkStart w:colFirst="0" w:colLast="0" w:name="_4kb0pws7fb0" w:id="51"/>
      <w:bookmarkEnd w:id="51"/>
      <w:r w:rsidDel="00000000" w:rsidR="00000000" w:rsidRPr="00000000">
        <w:rPr>
          <w:rtl w:val="0"/>
        </w:rPr>
        <w:t xml:space="preserve">Open Paper Panel:</w:t>
      </w:r>
      <w:r w:rsidDel="00000000" w:rsidR="00000000" w:rsidRPr="00000000">
        <w:rPr>
          <w:u w:val="none"/>
          <w:rtl w:val="0"/>
        </w:rPr>
        <w:t xml:space="preserve"> The Body Sounds, Voices, Sleeps</w:t>
      </w:r>
    </w:p>
    <w:p w:rsidR="00000000" w:rsidDel="00000000" w:rsidP="00000000" w:rsidRDefault="00000000" w:rsidRPr="00000000" w14:paraId="000000CB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Dayna McLeod, “The Performance Art of Sleeping: Working to Sleep, Sleeping to Work”</w:t>
      </w:r>
    </w:p>
    <w:p w:rsidR="00000000" w:rsidDel="00000000" w:rsidP="00000000" w:rsidRDefault="00000000" w:rsidRPr="00000000" w14:paraId="000000CC">
      <w:pPr>
        <w:numPr>
          <w:ilvl w:val="0"/>
          <w:numId w:val="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Tracy Guptill, “Voicing an Echo, Re-Rooting in Resonance” </w:t>
      </w:r>
    </w:p>
    <w:p w:rsidR="00000000" w:rsidDel="00000000" w:rsidP="00000000" w:rsidRDefault="00000000" w:rsidRPr="00000000" w14:paraId="000000CD">
      <w:pPr>
        <w:numPr>
          <w:ilvl w:val="0"/>
          <w:numId w:val="9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Moynan King, “Reverberational Meditation: Reflections on Queer Medz”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3"/>
        <w:rPr>
          <w:u w:val="none"/>
        </w:rPr>
      </w:pPr>
      <w:bookmarkStart w:colFirst="0" w:colLast="0" w:name="_3pqlg6lato7t" w:id="52"/>
      <w:bookmarkEnd w:id="52"/>
      <w:r w:rsidDel="00000000" w:rsidR="00000000" w:rsidRPr="00000000">
        <w:rPr>
          <w:rtl w:val="0"/>
        </w:rPr>
        <w:t xml:space="preserve">Open Paper Panel:</w:t>
      </w:r>
      <w:r w:rsidDel="00000000" w:rsidR="00000000" w:rsidRPr="00000000">
        <w:rPr>
          <w:u w:val="none"/>
          <w:rtl w:val="0"/>
        </w:rPr>
        <w:t xml:space="preserve"> Shaped by Water</w:t>
      </w:r>
    </w:p>
    <w:p w:rsidR="00000000" w:rsidDel="00000000" w:rsidP="00000000" w:rsidRDefault="00000000" w:rsidRPr="00000000" w14:paraId="000000D0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Laura Nanni, “Buried Rivers and Shifting Shorelines: Mobile Performances Shaped by Water”</w:t>
      </w:r>
    </w:p>
    <w:p w:rsidR="00000000" w:rsidDel="00000000" w:rsidP="00000000" w:rsidRDefault="00000000" w:rsidRPr="00000000" w14:paraId="000000D1">
      <w:pPr>
        <w:numPr>
          <w:ilvl w:val="0"/>
          <w:numId w:val="1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Camille Renahrd, “In the Middle, Gestes entre terre et eau: Réflections sur une récherche-création portant sur les pratiques des lavandières”</w:t>
      </w:r>
    </w:p>
    <w:p w:rsidR="00000000" w:rsidDel="00000000" w:rsidP="00000000" w:rsidRDefault="00000000" w:rsidRPr="00000000" w14:paraId="000000D2">
      <w:pPr>
        <w:numPr>
          <w:ilvl w:val="0"/>
          <w:numId w:val="1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Caitlin Gowans, “Bodies of Water as Agential Bodies in Royal Court Dramaturgy”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3"/>
        <w:rPr>
          <w:u w:val="none"/>
        </w:rPr>
      </w:pPr>
      <w:bookmarkStart w:colFirst="0" w:colLast="0" w:name="_ocag8gotb2da" w:id="53"/>
      <w:bookmarkEnd w:id="53"/>
      <w:r w:rsidDel="00000000" w:rsidR="00000000" w:rsidRPr="00000000">
        <w:rPr>
          <w:rtl w:val="0"/>
        </w:rPr>
        <w:t xml:space="preserve">Praxis Workshop:</w:t>
      </w:r>
      <w:r w:rsidDel="00000000" w:rsidR="00000000" w:rsidRPr="00000000">
        <w:rPr>
          <w:u w:val="none"/>
          <w:rtl w:val="0"/>
        </w:rPr>
        <w:t xml:space="preserve"> Wading Into Audience Research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Convened by the Centre for Spectatorship and Audience Research: Kelsey Blair, Kelsey Jacobson, Signy Lynch, Scott Mealey, &amp; Jenny Salisbury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10:45 – 11:00 ADT</w:t>
        <w:tab/>
        <w:t xml:space="preserve">Break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11:00 – 12:30</w:t>
        <w:tab/>
        <w:t xml:space="preserve"> ADT</w:t>
        <w:tab/>
      </w:r>
    </w:p>
    <w:p w:rsidR="00000000" w:rsidDel="00000000" w:rsidP="00000000" w:rsidRDefault="00000000" w:rsidRPr="00000000" w14:paraId="000000DC">
      <w:pPr>
        <w:pStyle w:val="Heading2"/>
        <w:rPr/>
      </w:pPr>
      <w:bookmarkStart w:colFirst="0" w:colLast="0" w:name="_rz7gsb68qesk" w:id="54"/>
      <w:bookmarkEnd w:id="54"/>
      <w:r w:rsidDel="00000000" w:rsidR="00000000" w:rsidRPr="00000000">
        <w:rPr>
          <w:rtl w:val="0"/>
        </w:rPr>
        <w:t xml:space="preserve">Concurrent Sessions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3"/>
        <w:rPr>
          <w:u w:val="none"/>
        </w:rPr>
      </w:pPr>
      <w:bookmarkStart w:colFirst="0" w:colLast="0" w:name="_jwu84wcp117p" w:id="55"/>
      <w:bookmarkEnd w:id="55"/>
      <w:r w:rsidDel="00000000" w:rsidR="00000000" w:rsidRPr="00000000">
        <w:rPr>
          <w:rtl w:val="0"/>
        </w:rPr>
        <w:t xml:space="preserve">Open Paper Panel:</w:t>
      </w:r>
      <w:r w:rsidDel="00000000" w:rsidR="00000000" w:rsidRPr="00000000">
        <w:rPr>
          <w:u w:val="none"/>
          <w:rtl w:val="0"/>
        </w:rPr>
        <w:t xml:space="preserve"> At the Shorelines of Media and Performance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Douglas Eacho, “In the Shoals Between Media and Performance: Rebecca Schneider’s (im)Media Theory”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Shana MacDonald, “Reconceptualizing Internet Archives: Feminist Memes as Repertoire”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Julia Matias, “‘You Have Left Your Imprint in my Heart, Forever and in Gold’: Embodied Memorial in Virtual Tribute Burlesque Performance”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3"/>
        <w:rPr/>
      </w:pPr>
      <w:bookmarkStart w:colFirst="0" w:colLast="0" w:name="_xr600sx02fdh" w:id="56"/>
      <w:bookmarkEnd w:id="5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3"/>
        <w:rPr>
          <w:u w:val="none"/>
        </w:rPr>
      </w:pPr>
      <w:bookmarkStart w:colFirst="0" w:colLast="0" w:name="_stua6ypajexp" w:id="57"/>
      <w:bookmarkEnd w:id="57"/>
      <w:r w:rsidDel="00000000" w:rsidR="00000000" w:rsidRPr="00000000">
        <w:rPr>
          <w:rtl w:val="0"/>
        </w:rPr>
        <w:t xml:space="preserve">Open Paper Panel:</w:t>
      </w:r>
      <w:r w:rsidDel="00000000" w:rsidR="00000000" w:rsidRPr="00000000">
        <w:rPr>
          <w:u w:val="none"/>
          <w:rtl w:val="0"/>
        </w:rPr>
        <w:t xml:space="preserve"> Shoring Up – and Challenging – Neoliberalism</w:t>
      </w:r>
    </w:p>
    <w:p w:rsidR="00000000" w:rsidDel="00000000" w:rsidP="00000000" w:rsidRDefault="00000000" w:rsidRPr="00000000" w14:paraId="000000E5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Meghan Lindsay, “The Stickiness of Impact: Tracing Policy to Public”</w:t>
      </w:r>
    </w:p>
    <w:p w:rsidR="00000000" w:rsidDel="00000000" w:rsidP="00000000" w:rsidRDefault="00000000" w:rsidRPr="00000000" w14:paraId="000000E6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Keira Mayo, “Improv for the Win!  Competitive and Sport-Style Forms in Canada”</w:t>
      </w:r>
    </w:p>
    <w:p w:rsidR="00000000" w:rsidDel="00000000" w:rsidP="00000000" w:rsidRDefault="00000000" w:rsidRPr="00000000" w14:paraId="000000E7">
      <w:pPr>
        <w:numPr>
          <w:ilvl w:val="0"/>
          <w:numId w:val="6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Hope McIntyre, “The Business of Theatre: Shoring up the Industry or Creating Change-Makers”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3"/>
        <w:rPr>
          <w:u w:val="none"/>
        </w:rPr>
      </w:pPr>
      <w:bookmarkStart w:colFirst="0" w:colLast="0" w:name="_4tbdjudtqo8o" w:id="58"/>
      <w:bookmarkEnd w:id="58"/>
      <w:r w:rsidDel="00000000" w:rsidR="00000000" w:rsidRPr="00000000">
        <w:rPr>
          <w:rtl w:val="0"/>
        </w:rPr>
        <w:t xml:space="preserve">Curated Panel:</w:t>
      </w:r>
      <w:r w:rsidDel="00000000" w:rsidR="00000000" w:rsidRPr="00000000">
        <w:rPr>
          <w:u w:val="none"/>
          <w:rtl w:val="0"/>
        </w:rPr>
        <w:t xml:space="preserve"> Strategic Foresight &amp; the Future of Prairie Theatre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Panelists: Christine Brubaker, Taiwo Afolabi, Yvette Nolan, Heather Russet,  Jessica Thornton, Cali Sproule, Ibukun Fasunhan, and Steven Condo 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3"/>
        <w:rPr>
          <w:u w:val="none"/>
        </w:rPr>
      </w:pPr>
      <w:bookmarkStart w:colFirst="0" w:colLast="0" w:name="_9r7qb25lpcar" w:id="59"/>
      <w:bookmarkEnd w:id="59"/>
      <w:r w:rsidDel="00000000" w:rsidR="00000000" w:rsidRPr="00000000">
        <w:rPr>
          <w:rtl w:val="0"/>
        </w:rPr>
        <w:t xml:space="preserve">Praxis Workshop:</w:t>
      </w:r>
      <w:r w:rsidDel="00000000" w:rsidR="00000000" w:rsidRPr="00000000">
        <w:rPr>
          <w:u w:val="none"/>
          <w:rtl w:val="0"/>
        </w:rPr>
        <w:t xml:space="preserve"> Switching CATR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Convenors: Naty Tremblay and Members of the Switch Collective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12:30 – 12:45</w:t>
        <w:tab/>
        <w:t xml:space="preserve"> ADT</w:t>
        <w:tab/>
        <w:t xml:space="preserve">Break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12:45 – 14:15</w:t>
        <w:tab/>
      </w:r>
    </w:p>
    <w:p w:rsidR="00000000" w:rsidDel="00000000" w:rsidP="00000000" w:rsidRDefault="00000000" w:rsidRPr="00000000" w14:paraId="000000F4">
      <w:pPr>
        <w:pStyle w:val="Heading3"/>
        <w:rPr>
          <w:u w:val="none"/>
        </w:rPr>
      </w:pPr>
      <w:bookmarkStart w:colFirst="0" w:colLast="0" w:name="_tcat3m3zfmcr" w:id="60"/>
      <w:bookmarkEnd w:id="60"/>
      <w:r w:rsidDel="00000000" w:rsidR="00000000" w:rsidRPr="00000000">
        <w:rPr>
          <w:rtl w:val="0"/>
        </w:rPr>
        <w:t xml:space="preserve">Lunch:</w:t>
      </w:r>
      <w:r w:rsidDel="00000000" w:rsidR="00000000" w:rsidRPr="00000000">
        <w:rPr>
          <w:u w:val="none"/>
          <w:rtl w:val="0"/>
        </w:rPr>
        <w:t xml:space="preserve"> Celebrating CATR Distinguished Scholar and Honorary Associateship Recipients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14:15 – 14:30 ADT</w:t>
        <w:tab/>
        <w:t xml:space="preserve">Break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14:30 – 15:30</w:t>
        <w:tab/>
        <w:t xml:space="preserve"> ADT</w:t>
        <w:tab/>
      </w:r>
    </w:p>
    <w:p w:rsidR="00000000" w:rsidDel="00000000" w:rsidP="00000000" w:rsidRDefault="00000000" w:rsidRPr="00000000" w14:paraId="000000FC">
      <w:pPr>
        <w:pStyle w:val="Heading3"/>
        <w:rPr/>
      </w:pPr>
      <w:bookmarkStart w:colFirst="0" w:colLast="0" w:name="_7shja3hp6y17" w:id="61"/>
      <w:bookmarkEnd w:id="61"/>
      <w:r w:rsidDel="00000000" w:rsidR="00000000" w:rsidRPr="00000000">
        <w:rPr>
          <w:rtl w:val="0"/>
        </w:rPr>
        <w:t xml:space="preserve">CATR Scholarly Awards Ceremony: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Saddlemeyer, O’Neill, Plant, and Godin Awards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15:30 - 17:45 ADT</w:t>
        <w:tab/>
        <w:tab/>
      </w:r>
    </w:p>
    <w:p w:rsidR="00000000" w:rsidDel="00000000" w:rsidP="00000000" w:rsidRDefault="00000000" w:rsidRPr="00000000" w14:paraId="00000100">
      <w:pPr>
        <w:pStyle w:val="Heading3"/>
        <w:rPr/>
      </w:pPr>
      <w:bookmarkStart w:colFirst="0" w:colLast="0" w:name="_csnvpngxwyqh" w:id="62"/>
      <w:bookmarkEnd w:id="62"/>
      <w:r w:rsidDel="00000000" w:rsidR="00000000" w:rsidRPr="00000000">
        <w:rPr>
          <w:rtl w:val="0"/>
        </w:rPr>
        <w:t xml:space="preserve">CATR Annual General Meeting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17:45 – 18:00 ADT</w:t>
      </w:r>
    </w:p>
    <w:p w:rsidR="00000000" w:rsidDel="00000000" w:rsidP="00000000" w:rsidRDefault="00000000" w:rsidRPr="00000000" w14:paraId="00000103">
      <w:pPr>
        <w:pStyle w:val="Heading3"/>
        <w:rPr>
          <w:vertAlign w:val="baseline"/>
        </w:rPr>
      </w:pPr>
      <w:bookmarkStart w:colFirst="0" w:colLast="0" w:name="_ofojqq9kx2p7" w:id="63"/>
      <w:bookmarkEnd w:id="63"/>
      <w:r w:rsidDel="00000000" w:rsidR="00000000" w:rsidRPr="00000000">
        <w:rPr>
          <w:rtl w:val="0"/>
        </w:rPr>
        <w:t xml:space="preserve">Closing Remarks and Farewell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1360" w:left="1340" w:right="1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ell M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sz w:val="24"/>
        <w:szCs w:val="24"/>
        <w:lang w:val="en-US"/>
      </w:rPr>
    </w:rPrDefault>
    <w:pPrDefault>
      <w:pPr>
        <w:widowControl w:val="0"/>
        <w:tabs>
          <w:tab w:val="left" w:leader="none" w:pos="715.0000000000001"/>
          <w:tab w:val="left" w:leader="none" w:pos="3701"/>
        </w:tabs>
        <w:spacing w:before="4" w:lineRule="auto"/>
        <w:ind w:right="18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rFonts w:ascii="Ubuntu" w:cs="Ubuntu" w:eastAsia="Ubuntu" w:hAnsi="Ubuntu"/>
      <w:b w:val="1"/>
      <w:sz w:val="40"/>
      <w:szCs w:val="40"/>
    </w:rPr>
  </w:style>
  <w:style w:type="paragraph" w:styleId="Heading2">
    <w:name w:val="heading 2"/>
    <w:basedOn w:val="Normal"/>
    <w:next w:val="Normal"/>
    <w:pPr>
      <w:spacing w:before="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tabs>
        <w:tab w:val="left" w:leader="none" w:pos="2981"/>
        <w:tab w:val="left" w:leader="none" w:pos="3701"/>
      </w:tabs>
      <w:spacing w:before="1" w:line="242" w:lineRule="auto"/>
    </w:pPr>
    <w:rPr>
      <w:rFonts w:ascii="Ubuntu" w:cs="Ubuntu" w:eastAsia="Ubuntu" w:hAnsi="Ubuntu"/>
      <w:b w:val="1"/>
      <w:color w:val="03388f"/>
      <w:sz w:val="26"/>
      <w:szCs w:val="2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78" w:line="271" w:lineRule="auto"/>
      <w:jc w:val="center"/>
    </w:pPr>
    <w:rPr>
      <w:rFonts w:ascii="Ubuntu" w:cs="Ubuntu" w:eastAsia="Ubuntu" w:hAnsi="Ubuntu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hauntaygrant.com/abou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BellMT-regular.ttf"/><Relationship Id="rId6" Type="http://schemas.openxmlformats.org/officeDocument/2006/relationships/font" Target="fonts/BellMT-bold.ttf"/><Relationship Id="rId7" Type="http://schemas.openxmlformats.org/officeDocument/2006/relationships/font" Target="fonts/BellMT-italic.ttf"/><Relationship Id="rId8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